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121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</w:t>
      </w:r>
    </w:p>
    <w:p w:rsidR="00000000" w:rsidDel="00000000" w:rsidP="00000000" w:rsidRDefault="00000000" w:rsidRPr="00000000" w14:paraId="00000002">
      <w:pPr>
        <w:spacing w:line="276" w:lineRule="auto"/>
        <w:ind w:right="121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xr6is9w8th2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CHARTE QUALITÉ FORMATEUR EXTERNE</w:t>
      </w:r>
    </w:p>
    <w:p w:rsidR="00000000" w:rsidDel="00000000" w:rsidP="00000000" w:rsidRDefault="00000000" w:rsidRPr="00000000" w14:paraId="00000003">
      <w:pPr>
        <w:spacing w:line="276" w:lineRule="auto"/>
        <w:ind w:right="1217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Partenaire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94" w:line="276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informons clairement et complètement sur nos actions de formation. Cette information est un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94" w:line="276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présentera le contenu de l’action de formation sous-traitée avec l’ensemble des items réglementaires, datés et actualisés.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51" w:line="276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établissons un réel partenariat avec le demandeur de formation afin de définir ensemble les objectifs et les attentes et adapter les contenus correspondants aux participants à la formation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51" w:line="276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prendre en considération les besoins des clients établis par l’organisme de formation, et s’engage à les introduire dans la prestation proposée.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49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conseillons les actions appropriées dans le cadre de nos compétences.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49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fournir l’ensemble des éléments de preuve permettant de valider les compétences à enseigner.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8"/>
        </w:tabs>
        <w:spacing w:after="0" w:before="204" w:line="271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adaptons les démarches pédagogiques et nous nous assurons de la bonne utilisation des outils correspondants.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8"/>
        </w:tabs>
        <w:spacing w:after="0" w:before="204" w:line="271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s’engage à adapter le déroulé pédagogique selon les besoins recueillis.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8"/>
        </w:tabs>
        <w:spacing w:after="0" w:before="204" w:line="271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positionnons le niveau de chaque stagiaire en amont de la 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8"/>
        </w:tabs>
        <w:spacing w:after="0" w:before="204" w:line="271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prendra en considération les résultats de test de positionnement évalués pour adapter les niveaux de la formation.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57" w:line="278.00000000000006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suivons attentivement le déroulement de ces actions et nous faisons le point régulièrement avec nos partenaires et tout particulièrement avec les participants à la 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57" w:line="278.00000000000006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remplir et fournir la fiche du suivi pédagogique par action de formation.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47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veillons à l’environnement dans lequel se déroulent les actions de 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47" w:lineRule="auto"/>
        <w:ind w:left="133" w:right="-14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Une coordination est assurée avec le partenaire et le client pour garantir les bonnes conditions pour le bon déroulement de l’action de 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5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nous engageons à avoir une stratégie de formation continue.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5" w:lineRule="auto"/>
        <w:ind w:left="0" w:right="-14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recevra de notre part, les lignes directives des stratégies mises en place pour l’organisme de 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évaluons des actions de formation en fonction des objectifs préalablement définis.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fournir et présenter l’ensemble des éléments d’évaluation des acquis de la formation.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mettons à jour nos informations et nous assurons le maintien de nos compétences.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fournir annuellement et mettre à jour son plan de formation pour maintenir et actualiser les compétences enseignées.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investissons dans la recherche et la création d’outils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pédagogiques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innovants.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sera informé des outils relatifs à l’innovation pédagogique utilisés.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garantissons l’accès pour les personnes en situation de handicap (INTRA).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s’engage à coordonner avec le référent handicap pour toute adaptation pour les formations mentionnées.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recueillons la satisfaction des stagiaires, des donneurs d’ordres, ainsi que les formateurs systématiquement après chaque action dispensée.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after="0" w:before="199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fournir l’ensemble des fiches de satisfaction pour le recueil des appréciations.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1"/>
        </w:tabs>
        <w:spacing w:after="0" w:before="198" w:line="276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appliquons ces engagements et mettons en œuvre les procédures propres à améliorer la qualité de nos 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1"/>
        </w:tabs>
        <w:spacing w:after="0" w:before="198" w:line="276" w:lineRule="auto"/>
        <w:ind w:left="133" w:right="-148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respecter la présente charte communiquée et jointe avec le contrat de prestation.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1"/>
        </w:tabs>
        <w:spacing w:after="0" w:before="198" w:line="276" w:lineRule="auto"/>
        <w:ind w:left="133" w:right="-148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Nous sommes à jour de nos cotisations et possédons une Assurance Responsabilité Professionnelle.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1"/>
        </w:tabs>
        <w:spacing w:after="0" w:before="198" w:line="276" w:lineRule="auto"/>
        <w:ind w:left="133" w:right="-14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Le partenaire doit mettre à jour et présenter ses attestations fiscales, les bilans pédagogiques et financiers et présenter son assurance responsabilité civile professionnelle.</w:t>
        <w:br w:type="textWrapping"/>
        <w:br w:type="textWrapping"/>
        <w:br w:type="textWrapping"/>
        <w:br w:type="textWrapping"/>
        <w:t xml:space="preserve">Fait 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02/01/2023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à  Paris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highlight w:val="white"/>
          <w:rtl w:val="0"/>
        </w:rPr>
        <w:t xml:space="preserve">Aimade BEN ABDELHADI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Aimad Ben Abdelhadi</w:t>
      </w: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                                 Pour  </w:t>
      </w:r>
      <w:r w:rsidDel="00000000" w:rsidR="00000000" w:rsidRPr="00000000">
        <w:rPr>
          <w:b w:val="1"/>
          <w:sz w:val="20"/>
          <w:szCs w:val="20"/>
          <w:rtl w:val="0"/>
        </w:rPr>
        <w:t xml:space="preserve">TT Digital Media</w:t>
      </w:r>
      <w:r w:rsidDel="00000000" w:rsidR="00000000" w:rsidRPr="00000000">
        <w:rPr>
          <w:sz w:val="20"/>
          <w:szCs w:val="20"/>
          <w:rtl w:val="0"/>
        </w:rPr>
        <w:t xml:space="preserve">  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Lu et approuvé </w:t>
        <w:tab/>
        <w:tab/>
        <w:tab/>
        <w:tab/>
        <w:tab/>
        <w:t xml:space="preserve">                 Lu et approuvé</w:t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3200400</wp:posOffset>
            </wp:positionH>
            <wp:positionV relativeFrom="paragraph">
              <wp:posOffset>266700</wp:posOffset>
            </wp:positionV>
            <wp:extent cx="1916553" cy="706584"/>
            <wp:effectExtent b="0" l="0" r="0" t="0"/>
            <wp:wrapNone/>
            <wp:docPr id="5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6553" cy="7065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1495425" cy="942975"/>
                <wp:effectExtent b="0" l="0" r="0" t="0"/>
                <wp:wrapNone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32700" y="1122775"/>
                          <a:ext cx="1495425" cy="942975"/>
                          <a:chOff x="1432700" y="1122775"/>
                          <a:chExt cx="1487725" cy="929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894475" y="1127550"/>
                            <a:ext cx="347675" cy="777150"/>
                          </a:xfrm>
                          <a:custGeom>
                            <a:rect b="b" l="l" r="r" t="t"/>
                            <a:pathLst>
                              <a:path extrusionOk="0" h="31086" w="13907">
                                <a:moveTo>
                                  <a:pt x="0" y="31086"/>
                                </a:moveTo>
                                <a:cubicBezTo>
                                  <a:pt x="2454" y="20452"/>
                                  <a:pt x="2541" y="20471"/>
                                  <a:pt x="4908" y="9817"/>
                                </a:cubicBezTo>
                                <a:cubicBezTo>
                                  <a:pt x="4929" y="9723"/>
                                  <a:pt x="4646" y="0"/>
                                  <a:pt x="5726" y="0"/>
                                </a:cubicBezTo>
                                <a:cubicBezTo>
                                  <a:pt x="9955" y="0"/>
                                  <a:pt x="9085" y="7790"/>
                                  <a:pt x="10225" y="11862"/>
                                </a:cubicBezTo>
                                <a:cubicBezTo>
                                  <a:pt x="11840" y="17630"/>
                                  <a:pt x="13907" y="23460"/>
                                  <a:pt x="13907" y="2945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966050" y="1567250"/>
                            <a:ext cx="224975" cy="20450"/>
                          </a:xfrm>
                          <a:custGeom>
                            <a:rect b="b" l="l" r="r" t="t"/>
                            <a:pathLst>
                              <a:path extrusionOk="0" h="818" w="8999">
                                <a:moveTo>
                                  <a:pt x="0" y="818"/>
                                </a:moveTo>
                                <a:cubicBezTo>
                                  <a:pt x="3012" y="818"/>
                                  <a:pt x="5987" y="0"/>
                                  <a:pt x="8999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37135" y="1148000"/>
                            <a:ext cx="1479700" cy="899850"/>
                          </a:xfrm>
                          <a:custGeom>
                            <a:rect b="b" l="l" r="r" t="t"/>
                            <a:pathLst>
                              <a:path extrusionOk="0" h="35994" w="59188">
                                <a:moveTo>
                                  <a:pt x="36291" y="0"/>
                                </a:moveTo>
                                <a:cubicBezTo>
                                  <a:pt x="37431" y="4561"/>
                                  <a:pt x="39090" y="8978"/>
                                  <a:pt x="40381" y="13498"/>
                                </a:cubicBezTo>
                                <a:cubicBezTo>
                                  <a:pt x="41182" y="16300"/>
                                  <a:pt x="39205" y="21320"/>
                                  <a:pt x="42017" y="22087"/>
                                </a:cubicBezTo>
                                <a:cubicBezTo>
                                  <a:pt x="47373" y="23547"/>
                                  <a:pt x="53333" y="19164"/>
                                  <a:pt x="57151" y="15134"/>
                                </a:cubicBezTo>
                                <a:cubicBezTo>
                                  <a:pt x="58402" y="13814"/>
                                  <a:pt x="60178" y="9555"/>
                                  <a:pt x="58378" y="9817"/>
                                </a:cubicBezTo>
                                <a:cubicBezTo>
                                  <a:pt x="42344" y="12155"/>
                                  <a:pt x="27521" y="20301"/>
                                  <a:pt x="13386" y="28223"/>
                                </a:cubicBezTo>
                                <a:cubicBezTo>
                                  <a:pt x="8960" y="30704"/>
                                  <a:pt x="5371" y="35994"/>
                                  <a:pt x="297" y="35994"/>
                                </a:cubicBezTo>
                                <a:cubicBezTo>
                                  <a:pt x="-571" y="35994"/>
                                  <a:pt x="757" y="35173"/>
                                  <a:pt x="1524" y="34767"/>
                                </a:cubicBezTo>
                                <a:cubicBezTo>
                                  <a:pt x="11224" y="29632"/>
                                  <a:pt x="11208" y="29585"/>
                                  <a:pt x="21157" y="24951"/>
                                </a:cubicBezTo>
                                <a:cubicBezTo>
                                  <a:pt x="29710" y="20967"/>
                                  <a:pt x="40670" y="16722"/>
                                  <a:pt x="43653" y="7771"/>
                                </a:cubicBezTo>
                                <a:cubicBezTo>
                                  <a:pt x="45902" y="1023"/>
                                  <a:pt x="29633" y="5226"/>
                                  <a:pt x="22793" y="3272"/>
                                </a:cubicBezTo>
                                <a:cubicBezTo>
                                  <a:pt x="21193" y="2815"/>
                                  <a:pt x="17067" y="102"/>
                                  <a:pt x="18703" y="409"/>
                                </a:cubicBezTo>
                                <a:cubicBezTo>
                                  <a:pt x="30281" y="2580"/>
                                  <a:pt x="46926" y="9898"/>
                                  <a:pt x="46926" y="21678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1495425" cy="942975"/>
                <wp:effectExtent b="0" l="0" r="0" t="0"/>
                <wp:wrapNone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314325</wp:posOffset>
                </wp:positionV>
                <wp:extent cx="890588" cy="629677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629677" cy="890588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47626</wp:posOffset>
                </wp:positionH>
                <wp:positionV relativeFrom="paragraph">
                  <wp:posOffset>314325</wp:posOffset>
                </wp:positionV>
                <wp:extent cx="890588" cy="629677"/>
                <wp:effectExtent b="0" l="0" r="0" t="0"/>
                <wp:wrapNone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588" cy="629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510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Playfair Display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ans"/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Style w:val="Heading1"/>
      <w:keepNext w:val="0"/>
      <w:keepLines w:val="0"/>
      <w:spacing w:line="288" w:lineRule="auto"/>
      <w:ind w:right="-607.7952755905511"/>
      <w:jc w:val="center"/>
      <w:rPr>
        <w:rFonts w:ascii="Arial" w:cs="Arial" w:eastAsia="Arial" w:hAnsi="Arial"/>
        <w:b w:val="0"/>
        <w:sz w:val="22"/>
        <w:szCs w:val="22"/>
      </w:rPr>
    </w:pPr>
    <w:bookmarkStart w:colFirst="0" w:colLast="0" w:name="_heading=h.9y2cmqj9uyhv" w:id="2"/>
    <w:bookmarkEnd w:id="2"/>
    <w:r w:rsidDel="00000000" w:rsidR="00000000" w:rsidRPr="00000000">
      <w:rPr>
        <w:rFonts w:ascii="Playfair Display Medium" w:cs="Playfair Display Medium" w:eastAsia="Playfair Display Medium" w:hAnsi="Playfair Display Medium"/>
        <w:sz w:val="32"/>
        <w:szCs w:val="32"/>
        <w:rtl w:val="0"/>
      </w:rPr>
      <w:t xml:space="preserve">TT DIGITAL MEDIA</w:t>
    </w:r>
    <w:r w:rsidDel="00000000" w:rsidR="00000000" w:rsidRPr="00000000">
      <w:rPr>
        <w:rFonts w:ascii="Playfair Display Medium" w:cs="Playfair Display Medium" w:eastAsia="Playfair Display Medium" w:hAnsi="Playfair Display Medium"/>
        <w:sz w:val="34"/>
        <w:szCs w:val="34"/>
        <w:rtl w:val="0"/>
      </w:rPr>
      <w:t xml:space="preserve"> </w:t>
    </w:r>
    <w:r w:rsidDel="00000000" w:rsidR="00000000" w:rsidRPr="00000000">
      <w:rPr>
        <w:rFonts w:ascii="Playfair Display Medium" w:cs="Playfair Display Medium" w:eastAsia="Playfair Display Medium" w:hAnsi="Playfair Display Medium"/>
        <w:sz w:val="40"/>
        <w:szCs w:val="40"/>
        <w:rtl w:val="0"/>
      </w:rPr>
      <w:t xml:space="preserve">                                                              </w:t>
      <w:br w:type="textWrapping"/>
    </w:r>
    <w:r w:rsidDel="00000000" w:rsidR="00000000" w:rsidRPr="00000000">
      <w:rPr>
        <w:rFonts w:ascii="Arial" w:cs="Arial" w:eastAsia="Arial" w:hAnsi="Arial"/>
        <w:b w:val="0"/>
        <w:sz w:val="22"/>
        <w:szCs w:val="22"/>
        <w:rtl w:val="0"/>
      </w:rPr>
      <w:t xml:space="preserve">229 RUE SAINT-HONORE, 75001 PARIS</w:t>
    </w:r>
  </w:p>
  <w:p w:rsidR="00000000" w:rsidDel="00000000" w:rsidP="00000000" w:rsidRDefault="00000000" w:rsidRPr="00000000" w14:paraId="0000002A">
    <w:pPr>
      <w:spacing w:after="0" w:line="288" w:lineRule="auto"/>
      <w:jc w:val="center"/>
      <w:rPr>
        <w:rFonts w:ascii="Roboto" w:cs="Roboto" w:eastAsia="Roboto" w:hAnsi="Roboto"/>
        <w:b w:val="1"/>
        <w:color w:val="861b23"/>
        <w:sz w:val="24"/>
        <w:szCs w:val="24"/>
        <w:highlight w:val="white"/>
      </w:rPr>
    </w:pPr>
    <w:r w:rsidDel="00000000" w:rsidR="00000000" w:rsidRPr="00000000">
      <w:rPr>
        <w:rFonts w:ascii="Playfair Display Medium" w:cs="Playfair Display Medium" w:eastAsia="Playfair Display Medium" w:hAnsi="Playfair Display Medium"/>
        <w:b w:val="1"/>
        <w:rtl w:val="0"/>
      </w:rPr>
      <w:t xml:space="preserve">SIREN </w:t>
    </w:r>
    <w:r w:rsidDel="00000000" w:rsidR="00000000" w:rsidRPr="00000000">
      <w:rPr>
        <w:rFonts w:ascii="Playfair Display Medium" w:cs="Playfair Display Medium" w:eastAsia="Playfair Display Medium" w:hAnsi="Playfair Display Medium"/>
        <w:rtl w:val="0"/>
      </w:rPr>
      <w:t xml:space="preserve">: 920 106 713 / </w:t>
    </w:r>
    <w:r w:rsidDel="00000000" w:rsidR="00000000" w:rsidRPr="00000000">
      <w:rPr>
        <w:rFonts w:ascii="Playfair Display Medium" w:cs="Playfair Display Medium" w:eastAsia="Playfair Display Medium" w:hAnsi="Playfair Display Medium"/>
        <w:b w:val="1"/>
        <w:rtl w:val="0"/>
      </w:rPr>
      <w:t xml:space="preserve">SIRET </w:t>
    </w:r>
    <w:r w:rsidDel="00000000" w:rsidR="00000000" w:rsidRPr="00000000">
      <w:rPr>
        <w:rFonts w:ascii="Playfair Display Medium" w:cs="Playfair Display Medium" w:eastAsia="Playfair Display Medium" w:hAnsi="Playfair Display Medium"/>
        <w:rtl w:val="0"/>
      </w:rPr>
      <w:t xml:space="preserve">: 920 106 713 00034</w:t>
      <w:br w:type="textWrapping"/>
    </w:r>
    <w:r w:rsidDel="00000000" w:rsidR="00000000" w:rsidRPr="00000000">
      <w:rPr>
        <w:rFonts w:ascii="Playfair Display Medium" w:cs="Playfair Display Medium" w:eastAsia="Playfair Display Medium" w:hAnsi="Playfair Display Medium"/>
        <w:b w:val="1"/>
        <w:rtl w:val="0"/>
      </w:rPr>
      <w:t xml:space="preserve">NDA :</w:t>
    </w:r>
    <w:r w:rsidDel="00000000" w:rsidR="00000000" w:rsidRPr="00000000">
      <w:rPr>
        <w:rFonts w:ascii="Playfair Display Medium" w:cs="Playfair Display Medium" w:eastAsia="Playfair Display Medium" w:hAnsi="Playfair Display Medium"/>
        <w:rtl w:val="0"/>
      </w:rPr>
      <w:t xml:space="preserve"> </w:t>
    </w:r>
    <w:r w:rsidDel="00000000" w:rsidR="00000000" w:rsidRPr="00000000">
      <w:rPr>
        <w:rFonts w:ascii="Roboto" w:cs="Roboto" w:eastAsia="Roboto" w:hAnsi="Roboto"/>
        <w:sz w:val="24"/>
        <w:szCs w:val="24"/>
        <w:highlight w:val="white"/>
        <w:rtl w:val="0"/>
      </w:rPr>
      <w:t xml:space="preserve">11756616875</w:t>
      <w:br w:type="textWrapping"/>
    </w:r>
    <w:r w:rsidDel="00000000" w:rsidR="00000000" w:rsidRPr="00000000">
      <w:rPr>
        <w:rFonts w:ascii="Roboto" w:cs="Roboto" w:eastAsia="Roboto" w:hAnsi="Roboto"/>
        <w:b w:val="1"/>
        <w:sz w:val="24"/>
        <w:szCs w:val="24"/>
        <w:highlight w:val="white"/>
        <w:rtl w:val="0"/>
      </w:rPr>
      <w:t xml:space="preserve">Site web :</w:t>
    </w:r>
    <w:hyperlink r:id="rId1">
      <w:r w:rsidDel="00000000" w:rsidR="00000000" w:rsidRPr="00000000">
        <w:rPr>
          <w:rFonts w:ascii="Roboto" w:cs="Roboto" w:eastAsia="Roboto" w:hAnsi="Roboto"/>
          <w:b w:val="1"/>
          <w:color w:val="1155cc"/>
          <w:sz w:val="24"/>
          <w:szCs w:val="24"/>
          <w:highlight w:val="white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Roboto" w:cs="Roboto" w:eastAsia="Roboto" w:hAnsi="Roboto"/>
          <w:b w:val="1"/>
          <w:color w:val="861b23"/>
          <w:sz w:val="24"/>
          <w:szCs w:val="24"/>
          <w:highlight w:val="white"/>
          <w:u w:val="single"/>
          <w:rtl w:val="0"/>
        </w:rPr>
        <w:t xml:space="preserve">www.tt-digital-media.fr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line="288" w:lineRule="auto"/>
      <w:jc w:val="center"/>
      <w:rPr>
        <w:rFonts w:ascii="Playfair Display Medium" w:cs="Playfair Display Medium" w:eastAsia="Playfair Display Medium" w:hAnsi="Playfair Display Medium"/>
        <w:b w:val="1"/>
        <w:color w:val="861b23"/>
        <w:u w:val="single"/>
      </w:rPr>
    </w:pPr>
    <w:r w:rsidDel="00000000" w:rsidR="00000000" w:rsidRPr="00000000">
      <w:rPr>
        <w:rFonts w:ascii="Playfair Display Medium" w:cs="Playfair Display Medium" w:eastAsia="Playfair Display Medium" w:hAnsi="Playfair Display Medium"/>
        <w:b w:val="1"/>
        <w:color w:val="861b23"/>
        <w:u w:val="single"/>
        <w:rtl w:val="0"/>
      </w:rPr>
      <w:t xml:space="preserve">mediattdigital@gmail.com</w:t>
    </w:r>
  </w:p>
  <w:p w:rsidR="00000000" w:rsidDel="00000000" w:rsidP="00000000" w:rsidRDefault="00000000" w:rsidRPr="00000000" w14:paraId="0000002C">
    <w:pPr>
      <w:spacing w:after="0" w:line="276" w:lineRule="auto"/>
      <w:ind w:right="-607.7952755905511"/>
      <w:jc w:val="center"/>
      <w:rPr>
        <w:rFonts w:ascii="Playfair Display Medium" w:cs="Playfair Display Medium" w:eastAsia="Playfair Display Medium" w:hAnsi="Playfair Display Medium"/>
        <w:i w:val="1"/>
        <w:sz w:val="20"/>
        <w:szCs w:val="20"/>
      </w:rPr>
    </w:pPr>
    <w:r w:rsidDel="00000000" w:rsidR="00000000" w:rsidRPr="00000000">
      <w:rPr>
        <w:rFonts w:ascii="Playfair Display Medium" w:cs="Playfair Display Medium" w:eastAsia="Playfair Display Medium" w:hAnsi="Playfair Display Medium"/>
        <w:color w:val="861b23"/>
        <w:rtl w:val="0"/>
      </w:rPr>
      <w:t xml:space="preserve"> </w:t>
    </w:r>
    <w:r w:rsidDel="00000000" w:rsidR="00000000" w:rsidRPr="00000000">
      <w:rPr>
        <w:rFonts w:ascii="Playfair Display Medium" w:cs="Playfair Display Medium" w:eastAsia="Playfair Display Medium" w:hAnsi="Playfair Display Medium"/>
        <w:b w:val="1"/>
        <w:color w:val="861b23"/>
        <w:rtl w:val="0"/>
      </w:rPr>
      <w:t xml:space="preserve">Tél </w:t>
    </w:r>
    <w:r w:rsidDel="00000000" w:rsidR="00000000" w:rsidRPr="00000000">
      <w:rPr>
        <w:rFonts w:ascii="Playfair Display Medium" w:cs="Playfair Display Medium" w:eastAsia="Playfair Display Medium" w:hAnsi="Playfair Display Medium"/>
        <w:color w:val="861b23"/>
        <w:rtl w:val="0"/>
      </w:rPr>
      <w:t xml:space="preserve">:</w:t>
    </w:r>
    <w:r w:rsidDel="00000000" w:rsidR="00000000" w:rsidRPr="00000000">
      <w:rPr>
        <w:rFonts w:ascii="Arial" w:cs="Arial" w:eastAsia="Arial" w:hAnsi="Arial"/>
        <w:b w:val="1"/>
        <w:color w:val="861b23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861b23"/>
        <w:sz w:val="20"/>
        <w:szCs w:val="20"/>
        <w:rtl w:val="0"/>
      </w:rPr>
      <w:t xml:space="preserve">07 77 18 36 32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276" w:lineRule="auto"/>
      <w:ind w:firstLine="284"/>
      <w:rPr>
        <w:rFonts w:ascii="Georgia" w:cs="Georgia" w:eastAsia="Georgia" w:hAnsi="Georgia"/>
        <w:b w:val="1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3752850</wp:posOffset>
          </wp:positionH>
          <wp:positionV relativeFrom="paragraph">
            <wp:posOffset>-66674</wp:posOffset>
          </wp:positionV>
          <wp:extent cx="2806700" cy="2082800"/>
          <wp:effectExtent b="0" l="0" r="0" t="0"/>
          <wp:wrapNone/>
          <wp:docPr id="5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6700" cy="2082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Style w:val="Heading1"/>
      <w:keepNext w:val="0"/>
      <w:keepLines w:val="0"/>
      <w:spacing w:line="331.2" w:lineRule="auto"/>
      <w:rPr>
        <w:rFonts w:ascii="Arial" w:cs="Arial" w:eastAsia="Arial" w:hAnsi="Arial"/>
        <w:sz w:val="36"/>
        <w:szCs w:val="36"/>
      </w:rPr>
    </w:pPr>
    <w:bookmarkStart w:colFirst="0" w:colLast="0" w:name="_heading=h.zcsvwt6hgdq1" w:id="1"/>
    <w:bookmarkEnd w:id="1"/>
    <w:r w:rsidDel="00000000" w:rsidR="00000000" w:rsidRPr="00000000">
      <w:rPr>
        <w:rFonts w:ascii="Arial" w:cs="Arial" w:eastAsia="Arial" w:hAnsi="Arial"/>
        <w:sz w:val="36"/>
        <w:szCs w:val="36"/>
        <w:rtl w:val="0"/>
      </w:rPr>
      <w:t xml:space="preserve">TT DIGITAL MEDIA</w:t>
    </w:r>
  </w:p>
  <w:p w:rsidR="00000000" w:rsidDel="00000000" w:rsidP="00000000" w:rsidRDefault="00000000" w:rsidRPr="00000000" w14:paraId="00000025">
    <w:pPr>
      <w:pStyle w:val="Heading1"/>
      <w:keepNext w:val="0"/>
      <w:keepLines w:val="0"/>
      <w:spacing w:line="331.2" w:lineRule="auto"/>
      <w:rPr>
        <w:rFonts w:ascii="Arial" w:cs="Arial" w:eastAsia="Arial" w:hAnsi="Arial"/>
        <w:b w:val="0"/>
        <w:sz w:val="22"/>
        <w:szCs w:val="22"/>
      </w:rPr>
    </w:pPr>
    <w:bookmarkStart w:colFirst="0" w:colLast="0" w:name="_heading=h.zcsvwt6hgdq1" w:id="1"/>
    <w:bookmarkEnd w:id="1"/>
    <w:r w:rsidDel="00000000" w:rsidR="00000000" w:rsidRPr="00000000">
      <w:rPr>
        <w:rFonts w:ascii="Arial" w:cs="Arial" w:eastAsia="Arial" w:hAnsi="Arial"/>
        <w:b w:val="0"/>
        <w:sz w:val="22"/>
        <w:szCs w:val="22"/>
        <w:rtl w:val="0"/>
      </w:rPr>
      <w:t xml:space="preserve">229 RUE SAINT-HONORE, 75001 PARIS</w:t>
    </w:r>
  </w:p>
  <w:p w:rsidR="00000000" w:rsidDel="00000000" w:rsidP="00000000" w:rsidRDefault="00000000" w:rsidRPr="00000000" w14:paraId="00000026">
    <w:pPr>
      <w:spacing w:after="0" w:line="288" w:lineRule="auto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SIREN </w:t>
    </w:r>
    <w:r w:rsidDel="00000000" w:rsidR="00000000" w:rsidRPr="00000000">
      <w:rPr>
        <w:rFonts w:ascii="Arial" w:cs="Arial" w:eastAsia="Arial" w:hAnsi="Arial"/>
        <w:rtl w:val="0"/>
      </w:rPr>
      <w:t xml:space="preserve">: 920 106 713 /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SIRET </w:t>
    </w:r>
    <w:r w:rsidDel="00000000" w:rsidR="00000000" w:rsidRPr="00000000">
      <w:rPr>
        <w:rFonts w:ascii="Arial" w:cs="Arial" w:eastAsia="Arial" w:hAnsi="Arial"/>
        <w:rtl w:val="0"/>
      </w:rPr>
      <w:t xml:space="preserve">: 920 106 7130 0034 </w:t>
    </w:r>
  </w:p>
  <w:p w:rsidR="00000000" w:rsidDel="00000000" w:rsidP="00000000" w:rsidRDefault="00000000" w:rsidRPr="00000000" w14:paraId="00000027">
    <w:pPr>
      <w:spacing w:after="0" w:line="288" w:lineRule="auto"/>
      <w:rPr>
        <w:rFonts w:ascii="Georgia" w:cs="Georgia" w:eastAsia="Georgia" w:hAnsi="Georgia"/>
        <w:b w:val="1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CONTACT </w:t>
    </w:r>
    <w:r w:rsidDel="00000000" w:rsidR="00000000" w:rsidRPr="00000000">
      <w:rPr>
        <w:rFonts w:ascii="Arial" w:cs="Arial" w:eastAsia="Arial" w:hAnsi="Arial"/>
        <w:rtl w:val="0"/>
      </w:rPr>
      <w:t xml:space="preserve">: </w:t>
    </w:r>
    <w:r w:rsidDel="00000000" w:rsidR="00000000" w:rsidRPr="00000000">
      <w:rPr>
        <w:rFonts w:ascii="Arial" w:cs="Arial" w:eastAsia="Arial" w:hAnsi="Arial"/>
        <w:b w:val="1"/>
        <w:color w:val="861b23"/>
        <w:u w:val="single"/>
        <w:rtl w:val="0"/>
      </w:rPr>
      <w:t xml:space="preserve">mediattdigital@gmail.com</w:t>
      <w:br w:type="textWrapping"/>
    </w:r>
    <w:r w:rsidDel="00000000" w:rsidR="00000000" w:rsidRPr="00000000">
      <w:rPr>
        <w:rFonts w:ascii="Arial" w:cs="Arial" w:eastAsia="Arial" w:hAnsi="Arial"/>
        <w:b w:val="1"/>
        <w:color w:val="861b23"/>
        <w:rtl w:val="0"/>
      </w:rPr>
      <w:t xml:space="preserve">Tél </w:t>
    </w:r>
    <w:r w:rsidDel="00000000" w:rsidR="00000000" w:rsidRPr="00000000">
      <w:rPr>
        <w:rFonts w:ascii="Arial" w:cs="Arial" w:eastAsia="Arial" w:hAnsi="Arial"/>
        <w:color w:val="861b23"/>
        <w:rtl w:val="0"/>
      </w:rPr>
      <w:t xml:space="preserve">:</w:t>
    </w:r>
    <w:r w:rsidDel="00000000" w:rsidR="00000000" w:rsidRPr="00000000">
      <w:rPr>
        <w:rFonts w:ascii="Arial" w:cs="Arial" w:eastAsia="Arial" w:hAnsi="Arial"/>
        <w:b w:val="1"/>
        <w:color w:val="861b23"/>
        <w:rtl w:val="0"/>
      </w:rPr>
      <w:t xml:space="preserve"> 07 68 57 32 12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spacing w:after="0" w:line="240" w:lineRule="auto"/>
      <w:ind w:left="-850.3937007874016" w:firstLine="0"/>
      <w:rPr>
        <w:rFonts w:ascii="Arial" w:cs="Arial" w:eastAsia="Arial" w:hAnsi="Arial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               </w:t>
    </w:r>
    <w:r w:rsidDel="00000000" w:rsidR="00000000" w:rsidRPr="00000000">
      <w:rPr>
        <w:rFonts w:ascii="Arial" w:cs="Arial" w:eastAsia="Arial" w:hAnsi="Arial"/>
        <w:i w:val="1"/>
        <w:rtl w:val="0"/>
      </w:rPr>
      <w:t xml:space="preserve">Référent handicap, Service médiation, réclamation: </w:t>
    </w:r>
    <w:r w:rsidDel="00000000" w:rsidR="00000000" w:rsidRPr="00000000">
      <w:rPr>
        <w:rFonts w:ascii="Arial" w:cs="Arial" w:eastAsia="Arial" w:hAnsi="Arial"/>
        <w:b w:val="1"/>
        <w:i w:val="1"/>
        <w:rtl w:val="0"/>
      </w:rPr>
      <w:t xml:space="preserve">Blondeel Kevin</w:t>
      <w:br w:type="textWrapping"/>
      <w:br w:type="textWrapping"/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33" w:hanging="227"/>
      </w:pPr>
      <w:rPr>
        <w:b w:val="1"/>
        <w:sz w:val="22"/>
        <w:szCs w:val="22"/>
      </w:rPr>
    </w:lvl>
    <w:lvl w:ilvl="1">
      <w:start w:val="1"/>
      <w:numFmt w:val="bullet"/>
      <w:lvlText w:val="●"/>
      <w:lvlJc w:val="left"/>
      <w:pPr>
        <w:ind w:left="1155" w:hanging="227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70" w:hanging="227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5" w:hanging="227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200" w:hanging="227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5215" w:hanging="227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30" w:hanging="227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7245" w:hanging="227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8260" w:hanging="227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Corpsdetexte"/>
    <w:uiPriority w:val="1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-tteCar" w:customStyle="1">
    <w:name w:val="En-tête Car"/>
    <w:basedOn w:val="Policepardfaut"/>
    <w:qFormat w:val="1"/>
  </w:style>
  <w:style w:type="character" w:styleId="PieddepageCar" w:customStyle="1">
    <w:name w:val="Pied de page Car"/>
    <w:basedOn w:val="Policepardfaut"/>
    <w:qFormat w:val="1"/>
  </w:style>
  <w:style w:type="character" w:styleId="LienInternet" w:customStyle="1">
    <w:name w:val="Lien Internet"/>
    <w:rPr>
      <w:color w:val="000080"/>
      <w:u w:val="single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En-tteetpieddepage" w:customStyle="1">
    <w:name w:val="En-tête et pied de page"/>
    <w:basedOn w:val="Normal"/>
    <w:qFormat w:val="1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Contenudecadre" w:customStyle="1">
    <w:name w:val="Contenu de cadre"/>
    <w:basedOn w:val="Normal"/>
    <w:qFormat w:val="1"/>
  </w:style>
  <w:style w:type="paragraph" w:styleId="Paragraphedeliste">
    <w:name w:val="List Paragraph"/>
    <w:basedOn w:val="Normal"/>
    <w:qFormat w:val="1"/>
    <w:pPr>
      <w:widowControl w:val="0"/>
      <w:spacing w:after="0" w:before="94"/>
      <w:ind w:left="133"/>
    </w:pPr>
    <w:rPr>
      <w:rFonts w:ascii="Times New Roman" w:cs="Times New Roman" w:eastAsia="Times New Roman" w:hAnsi="Times New Roman"/>
      <w:lang w:bidi="fr-FR"/>
    </w:rPr>
  </w:style>
  <w:style w:type="paragraph" w:styleId="NormalWeb">
    <w:name w:val="Normal (Web)"/>
    <w:basedOn w:val="Normal"/>
    <w:uiPriority w:val="99"/>
    <w:unhideWhenUsed w:val="1"/>
    <w:rsid w:val="00650C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 w:val="1"/>
    <w:rsid w:val="00650CE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50CE3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650CE3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Medium-regular.ttf"/><Relationship Id="rId2" Type="http://schemas.openxmlformats.org/officeDocument/2006/relationships/font" Target="fonts/PlayfairDisplayMedium-bold.ttf"/><Relationship Id="rId3" Type="http://schemas.openxmlformats.org/officeDocument/2006/relationships/font" Target="fonts/PlayfairDisplayMedium-italic.ttf"/><Relationship Id="rId4" Type="http://schemas.openxmlformats.org/officeDocument/2006/relationships/font" Target="fonts/PlayfairDisplayMedium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tt-digital-media.fr" TargetMode="External"/><Relationship Id="rId2" Type="http://schemas.openxmlformats.org/officeDocument/2006/relationships/hyperlink" Target="http://www.tt-digital-media.f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VMAkfFTeuqrffJ49AcPEtUyigw==">CgMxLjAyDmgueHI2aXM5dzh0aDJ3Mg5oLnpjc3Z3dDZoZ2RxMTIOaC56Y3N2d3Q2aGdkcTEyDmguOXkyY21xajl1eWh2OAByITFfc2FsTFFlUnk4Q2ttekNzUHdnM3dNemZzMVlqY1ROdw==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2021-11-09T13:16:00Z</dcterms:created>
  <dc:creator>Laurence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